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20 vom 20. September 2024</w:t>
      </w:r>
    </w:p>
    <w:p>
      <w:r>
        <w:t>VS Kantonsgericht, 2024-09-20, FR</w:t>
      </w:r>
    </w:p>
    <w:p>
      <w:r>
        <w:rPr>
          <w:b/>
        </w:rPr>
        <w:t xml:space="preserve">Quelle: </w:t>
      </w:r>
      <w:r>
        <w:t>https://mcp.opencaselaw.ch/entscheid/vs_gerichte_S1 22 20</w:t>
      </w:r>
    </w:p>
    <w:p>
      <w:r>
        <w:t>FR: VS_GERICHTE S1 22 20 du 20 septembre 2024</w:t>
      </w:r>
    </w:p>
    <w:p>
      <w:r>
        <w:t>IT: VS_GERICHTE S1 22 20 del 20 settembre 2024</w:t>
      </w:r>
    </w:p>
    <w:p>
      <w:pPr>
        <w:pStyle w:val="Heading2"/>
      </w:pPr>
      <w:r>
        <w:t>Regeste</w:t>
      </w:r>
    </w:p>
    <w:p>
      <w:r>
        <w:t>S1 22 20 ARRÊT DU 20 SEPTEMBRE 2024 Tribunal cantonal du Valais Cour des assurances sociales Composition : Candido Prada, président ; Jean-Bernard Fournier et Christophe Joris, juges ; Mireille Allegro, greffière en la cause X _________, recourant, représenté par Maître François Gillard, avocat, à Belmont-sur- Lausanne contre OFFICE CANTONAL AI DU VALAIS, intimé (complément d’instruction après renvoi et refus de rente d’invalidité)</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24 janvier 2022, le recours dirigé contre la décision du</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l’état de fait déterminant pour le droit à la rente étant antérieur au 31 décembre 2021 et la décision rendue le 6 décembre 2021, la situation doit être examinée d'après le droit en vigueur jusqu'au 31 décembre 2021. 2. 2.1 Le litige porte sur le droit du recourant à une rente d’invalidité. Celui-ci reproche à l’intimé une violation de son devoir d’instruction et conteste le calcul du taux d’invalidité. 2.2 Il est rappelé que selon une jurisprudence constante, le juge des assurances sociales apprécie la légalité des décisions attaquées d'après l'état de fait existant au</w:t>
      </w:r>
    </w:p>
    <w:p>
      <w:r>
        <w:t>- 11 - moment où la décision litigieuse a été rendue et que les faits survenus postérieurement et ayant modifié cette situation doivent faire l'objet d'une nouvelle décision administrative (cf. ATF 136 V 24 consid. 4.3 ; 132 V 215 consid. 3.1.1 ; 130 V 445 consid.1.2.1 ; 129 V 1 consid. 1.2 ; 121 V 362 consid. 1b). Ainsi, comme l’intimé le soutient à bon droit, il sied de ne pas tenir compte des éléments postérieurs à la décision entreprise du 6 décembre 2021, plus particulièrement de l’opération réalisée le 22 juillet 2022 ainsi que ses éventuelles suites et des examens réalisés au Portugal en février 2023. 3. Dans un premier grief le recourant reproche à l’intimé une violation de son devoir d’instruction. 3.1 Tout d’abord, il estime que l’intimé aurait dû confier le complément d’instruction requis par la Cour à un tiers neutre et indépendant. Le recourant fait ici une mauvaise lecture du considérant 2.2.3 du jugement du 11 février 2021 (S1 18 125). En effet, la Cour a estimé que la date du début de l’exigibilité était douteuse et que le SMR devait se prononcer sur ce point spécifique, cas échéant après avoir interpellé l’expert du H _________. Ainsi, en requérant un complément de la part du Dr I _________ le 22 juin 2021, puis en mandatant une nouvelle fois le SMR le 29 juillet 2022, l’intimé s’est pleinement conformé aux exigences de la Cour. Sur ce point, le grief du recourant est dès lors infondé. Au demeurant, le recourant ne soulève aucun argument sur le fond du litige, à savoir la date du début de l’exigibilité médico-théorique telle que fixée par le Dr I _________ et confirmée par le SMR. Aucun élément médical au dossier ne vient contredire la position de l’expert du H _________ qui, dans son complément du 26 juillet 2021, a donné les raisons qui l’avaient conduit à retenir la date du 16 mars 2016. Le SMR, qui a corroboré son avis, a aussi expliqué de manière convaincante pourquoi le Modic1 visualisé à l’IRM du 4 mai 2016 ne remettait pas en cause cette date. Le recourant ne le conteste pas et aucun avis médical ne vient contredire la position concordante de l’expert du H _________ et du SMR. 3.2 Le recourant soutient encore que l’intimé aurait dû instruire l’aggravation de l’atteinte kystique au niveau des mains, alléguée dans le cadre de la procédure d’audition. A cet égard, la Cour ne peut que constater, à l’instar de l’intimé, que les nouveaux rapports produits par le recourant à l’appui de ses allégations ne rendent pas vraisemblable une aggravation de l’état de santé susceptible d’entraîner une invalidité</w:t>
      </w:r>
    </w:p>
    <w:p>
      <w:r>
        <w:t>- 12 - avant la date de la décision litigieuse. Aucun document n’atteste une incapacité de travail ni ne mentionne de limitations fonctionnelles en lien avec les maladies de Ledderhose et de Dupuytren connues depuis 2015/2016. Contrairement au flexum du majeur de la main gauche qui avait nécessité une injection en février 2016, les rapports plus récents concernant les mains et les poignets ne mentionnent pas de problématique particulière et handicapante. Au contraire, le rapport du 3 mai 2018 concernant le poignet droit indique que le patient n’a pas trop mal et celui de la consultation du 14 janvier 2021 atteste que les nodules à la main droite ne sont pas douloureux, qu’ils ne gênent pas l’assuré qui peut mettre sa main à plat et que la mobilité du poignet droit est conservée. Tout au long de la procédure administrative et de recours, que ce soit par la Dresse D _________, par le SMR ou par les experts I _________ et K _________, l’atteinte a toujours été classée dans les diagnostics sans répercussion sur la capacité de travail. Comme l’a expliqué le SMR, dans le cas où elle est douloureuse - ce qui ne semble pas l’être au vu des rapports produits - la fibromatose peut être soulagée par des infiltrations, mais aussi par le port d’orthèses/attelles qui aident à l’appui et au maintien. Le fait que le SMR se soit prononcé sans examiner personnellement l’assuré n’enlève rien à la valeur probante de son avis, dès lors qu’un tel examen n’est pas indispensable lorsque le dossier contient suffisamment d’éléments cliniques et d’appréciations médicales fondées elles sur un examen personnel de l’assuré (RAMA 2001 n° U 438 p. 346), comme c’est le cas en l’espèce. Ainsi, il sied d’admettre qu’aucune aggravation de l’état de santé n’avait été rendue plausible au moment de la décision entreprise. Si le recourant estime que l’opération du 22 juillet 2022 et ses suites ont entraîné une aggravation significative de son état de santé, ayant possiblement un impact sur son taux d’invalidité, il lui appartiendra de déposer une nouvelle demande. 4. Dans un second grief, le recourant conteste le calcul du taux d’invalidité, plus particulièrement le revenu d’invalide qui aurait dû correspondre à celui de concierge et le taux de l’abattement retenu à hauteur de 10%, qu’il estime insuffisant pour tenir compte des particularités cantonales, de son âge élevé, de son niveau de français et de sa longue absence du marché de l’emploi. 4.1 S’agissant tout d’abord du revenu d’invalide, le recourant ne saurait être suivi lorsqu’il prétend qu’il y aurait lieu de prendre en compte le revenu de concierge. En effet, il est clairement établi, de l’avis de l’ensemble du corps médical, que cette activité n’est plus adaptée à l’état de santé de l’assuré. En revanche, il est exigible de la part de ce dernier, en vertu de son obligation de réduire le dommage, qu’il trouve une autre activité qui corresponde aux limitations fonctionnelles qu’il subit en raison notamment de l’état</w:t>
      </w:r>
    </w:p>
    <w:p>
      <w:r>
        <w:t>- 13 - de son dos. Or, selon la jurisprudence, le marché de l’emploi recouvre un éventail suffisamment larges d’activités simples, légères et accessibles sans aucune formation particulière, pour que le recourant puisse en trouver une adaptée à son état de santé. C’est dès lors à juste titre que l’intimé s’est référé au revenu moyen de l'ESS pour déterminer le revenu d'invalide de l’assuré, en se fondant sur la valeur médiane ou centrale comme l’a encore confirmé dernièrement le Tribunal fédéral (ATF 148 V 174 ; arrêt du Tribunal fédéral 8C_451/2023 du 7 mars 2024 consid. 3.2.1). 4.2 En outre, la Cour estime que l’intimé n’a pas abusé de son pouvoir d'appréciation en procédant à un abattement de 10% sur le salaire statistique retenu au titre de revenu d'invalide.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148 V 174 consid. 6.3 ; 126 V 75 consid. 5b/aa-cc). Or, en l’espèce, l’appréciation de l’intimé tient globalement compte de l'ensemble des facteurs personnels et professionnels du cas particulier. Tout d’abord, l'argumentation du recourant, selon laquelle il y aurait lieu de tenir compte d’un abattement en raison du fait que les salaires seraient moins élevés dans le canton du Valais, n'est pas fondée.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(ATF 135 V 297 consid. 5.2 et les arrêts cités), et que le principe constitutionnel de l'égalité de traitement commande de recourir aux salaires statistiques ressortant de l'ESS, sans tenir compte de données salariales régionales, et à plus forte raison cantonales (arrêts du Tribunal fédéral 9C_197/2014 du 12 août 2024 consid. 5.3.4 ; 9C_272/2022 du 20 avril 2023 consid. 5.3 ; 9C_535/2019 du 31 octobre 2019 consid. 4 et les arrêts cités). En outre, comme l’a relevé l’intimé, le recourant n'avait pas encore atteint l'âge à partir duquel la jurisprudence considère généralement qu'il n'existe plus de possibilité réaliste de mise en valeur de la capacité résiduelle de travail sur un marché du travail supposé équilibré (arrêt du Tribunal fédéral 9C_481/2017 du 1er décembre 2017 consid. 5). Enfin, lorsqu’il s’agit d’activités simples et répétitives, ni la nationalité, ni la maîtrise de la langue</w:t>
      </w:r>
    </w:p>
    <w:p>
      <w:r>
        <w:t>- 14 - ni le manque de formation ne sont des facteurs impactant le salaire statistique (arrêts du Tribunal fédéral 8C_608/2021 du 26 avril 2022 consid. 4.3.4 ; 8C_289/2021 du 3 février 2022 consid. 4.4 ; 9C_297/2011 du 31 janvier 2012 consid. 4.1.5). Il n’y a dès lors pas lieu de réduire de plus de 10% le revenu statistique d’invalide, étant relevé que même avec un abattement maximal de 25% sur le salaire statistique, le taux d’invalidité du recourant serait d’à peine 5.08% (66'985 fr. 85 – 25% = 50'239 fr. 40 x 100 : 52'933 fr. 20 = 94.91), soit insuffisant pour ouvrir le droit à une rente d’invalidité (cf. art. 28 LAI). 5. Mal fondé, le recours est rejeté et la décision de refus de rente entreprise est confirmée. Les faits étant suffisamment établis, il n’y a pas lieu pour la Cour de céans d’ordonner la mise en œuvre des moyens de preuve requis par le recourant (appréciation anticipée des moyens de preuve ; ATF 145 I 167 consid. 4.1).</w:t>
      </w:r>
    </w:p>
    <w:p>
      <w:r>
        <w:rPr>
          <w:b/>
        </w:rPr>
        <w:t>E. 6</w:t>
      </w:r>
    </w:p>
    <w:p>
      <w:r>
        <w:t>décembre 2021 a été interjeté dans le délai légal de trente jours (art. 60 LPGA), compte tenu des féries de fin d’année (art. 38 al. 4 let. b LPGA). Par ailleurs, il a été adressé à l'instance compétente (art. 56 et 57 LPGA ; art. 69 al. 1 LAI ; art. 81a al. 1 LPJA) et répond aux autres conditions formelles de recevabilité (art. 61 let. b LPGA), de sorte que la Cour doit entrer en matière.</w:t>
      </w:r>
    </w:p>
    <w:p>
      <w:r>
        <w:rPr>
          <w:b/>
        </w:rPr>
        <w:t>E. 6.1</w:t>
      </w:r>
    </w:p>
    <w:p>
      <w:r>
        <w:t>Le recourant, qui n’a pas obtenu gain de cause, supportera les frais arrêtés à 500 fr. (art. 69 al. 1bis LAI). Son indigence ayant toutefois été reconnue par décision présidentielle du 15 mars 2022 (S3 22 10) et aucun indice ne permettant de retenir que sa situation économique se serait modifiée depuis lors, le recourant est dispensé de verser les frais de la cause, lesquels sont provisoirement supportés par la caisse de l’Etat du Valais.</w:t>
      </w:r>
    </w:p>
    <w:p>
      <w:r>
        <w:rPr>
          <w:b/>
        </w:rPr>
        <w:t>E. 6.2</w:t>
      </w:r>
    </w:p>
    <w:p>
      <w:r>
        <w:t>Me Gillard ayant été désigné comme avocat d’office dès le 24 janvier 2022, il doit être rémunéré au tarif de l'assistance judiciaire. Selon l'article 30 alinéa 1 LTar,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11’000 francs. Sur la base du dossier, la Cour fixe les débours forfaitairement, en l’absence de décompte, à 90 fr. (huit envois et une centaine de copies). Quant aux honoraires, ils sont arrêtés à la somme de 1500 fr. (TVA comprise), le travail de l'avocat du recourant ayant essentiellement consisté à reprendre et développer les arguments soulevés dans le cadre de la procédure d’audition (art. 26 al. 1 et 40 al. 1 LTar). Partant, compte tenu du tarif applicable en assistance judiciaire (70% de 1500 fr. + 90 fr. de débours), le montant de</w:t>
      </w:r>
    </w:p>
    <w:p>
      <w:r>
        <w:t>- 15 - 1140 fr. sera versé à Me Gillard par l'Etat du Valais dans le cadre de l'assistance judiciaire.</w:t>
      </w:r>
    </w:p>
    <w:p>
      <w:r>
        <w:rPr>
          <w:b/>
        </w:rPr>
        <w:t>E. 6.3</w:t>
      </w:r>
    </w:p>
    <w:p>
      <w:r>
        <w:t>Le recourant est toutefois rendu attentif au fait qu’il devra rembourser la caisse de l’Etat du Valais pour les prestations avancés, s’il devient ultérieurement en mesure de le faire (art. 10 LAJ ; RVJ 2000 p.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